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BE" w:rsidRPr="003967A7" w:rsidRDefault="003967A7" w:rsidP="003967A7">
      <w:pPr>
        <w:spacing w:after="0" w:line="240" w:lineRule="auto"/>
        <w:rPr>
          <w:sz w:val="56"/>
          <w:szCs w:val="56"/>
        </w:rPr>
      </w:pPr>
      <w:r w:rsidRPr="003967A7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6846E186" wp14:editId="0246C8BF">
            <wp:simplePos x="0" y="0"/>
            <wp:positionH relativeFrom="column">
              <wp:posOffset>75565</wp:posOffset>
            </wp:positionH>
            <wp:positionV relativeFrom="paragraph">
              <wp:posOffset>-801370</wp:posOffset>
            </wp:positionV>
            <wp:extent cx="1285875" cy="6295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L logo (smal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29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DBE" w:rsidRPr="003967A7">
        <w:rPr>
          <w:sz w:val="56"/>
          <w:szCs w:val="56"/>
        </w:rPr>
        <w:t>Young Critics Project</w:t>
      </w:r>
      <w:r w:rsidR="00545EDA">
        <w:rPr>
          <w:sz w:val="56"/>
          <w:szCs w:val="56"/>
        </w:rPr>
        <w:t xml:space="preserve">- </w:t>
      </w:r>
      <w:r w:rsidR="002B1DBE" w:rsidRPr="003967A7">
        <w:rPr>
          <w:sz w:val="56"/>
          <w:szCs w:val="56"/>
        </w:rPr>
        <w:t>Sessional Worker</w:t>
      </w:r>
    </w:p>
    <w:p w:rsidR="003967A7" w:rsidRPr="00F62A16" w:rsidRDefault="003967A7" w:rsidP="003967A7">
      <w:pPr>
        <w:spacing w:after="0" w:line="240" w:lineRule="auto"/>
        <w:rPr>
          <w:sz w:val="44"/>
          <w:szCs w:val="44"/>
        </w:rPr>
      </w:pPr>
    </w:p>
    <w:p w:rsidR="003967A7" w:rsidRPr="000668DF" w:rsidRDefault="000668DF">
      <w:r>
        <w:t xml:space="preserve">Glasgow Women’s Library </w:t>
      </w:r>
      <w:r w:rsidR="003967A7">
        <w:t xml:space="preserve">(GWL) </w:t>
      </w:r>
      <w:r>
        <w:t xml:space="preserve">is looking for a </w:t>
      </w:r>
      <w:r w:rsidR="003967A7">
        <w:t>sessional worker passionate about engaging women with cultural activities who will</w:t>
      </w:r>
      <w:r>
        <w:t xml:space="preserve"> develop</w:t>
      </w:r>
      <w:r w:rsidR="003967A7">
        <w:t xml:space="preserve"> and coordinate</w:t>
      </w:r>
      <w:r>
        <w:t xml:space="preserve"> this new project</w:t>
      </w:r>
      <w:r w:rsidR="003967A7">
        <w:t xml:space="preserve"> which</w:t>
      </w:r>
      <w:r>
        <w:t xml:space="preserve"> will</w:t>
      </w:r>
      <w:r w:rsidR="003967A7">
        <w:t xml:space="preserve"> both grow the skills and confidence</w:t>
      </w:r>
      <w:r>
        <w:t xml:space="preserve"> young </w:t>
      </w:r>
      <w:r w:rsidR="003967A7">
        <w:t>women and allow GWL to reach new audiences via these young women’s networks.</w:t>
      </w:r>
    </w:p>
    <w:p w:rsidR="002B1DBE" w:rsidRPr="003967A7" w:rsidRDefault="002B1DBE">
      <w:pPr>
        <w:rPr>
          <w:sz w:val="44"/>
          <w:szCs w:val="44"/>
        </w:rPr>
      </w:pPr>
      <w:r w:rsidRPr="00F62A16">
        <w:rPr>
          <w:sz w:val="44"/>
          <w:szCs w:val="44"/>
        </w:rPr>
        <w:t>Job Description</w:t>
      </w:r>
    </w:p>
    <w:p w:rsidR="002B1DBE" w:rsidRDefault="002B1DBE" w:rsidP="002B1DBE">
      <w:pPr>
        <w:rPr>
          <w:rFonts w:cs="Arial"/>
        </w:rPr>
      </w:pPr>
      <w:r>
        <w:rPr>
          <w:rFonts w:cs="Arial"/>
        </w:rPr>
        <w:t>Hours of work</w:t>
      </w:r>
      <w:r>
        <w:rPr>
          <w:rFonts w:cs="Arial"/>
        </w:rPr>
        <w:tab/>
      </w:r>
      <w:r>
        <w:rPr>
          <w:rFonts w:cs="Arial"/>
        </w:rPr>
        <w:tab/>
        <w:t>:</w:t>
      </w:r>
      <w:r>
        <w:rPr>
          <w:rFonts w:cs="Arial"/>
        </w:rPr>
        <w:tab/>
      </w:r>
      <w:r w:rsidR="00A37661">
        <w:rPr>
          <w:rFonts w:cs="Arial"/>
        </w:rPr>
        <w:t xml:space="preserve">Variable but on average </w:t>
      </w:r>
      <w:r>
        <w:rPr>
          <w:rFonts w:cs="Arial"/>
        </w:rPr>
        <w:t xml:space="preserve">7 hours per week </w:t>
      </w:r>
    </w:p>
    <w:p w:rsidR="002B1DBE" w:rsidRDefault="002B1DBE" w:rsidP="002B1DBE">
      <w:pPr>
        <w:rPr>
          <w:rFonts w:cs="Arial"/>
        </w:rPr>
      </w:pPr>
      <w:r>
        <w:rPr>
          <w:rFonts w:cs="Arial"/>
        </w:rPr>
        <w:t xml:space="preserve">Salary           </w:t>
      </w:r>
      <w:r>
        <w:rPr>
          <w:rFonts w:cs="Arial"/>
        </w:rPr>
        <w:tab/>
      </w:r>
      <w:r>
        <w:rPr>
          <w:rFonts w:cs="Arial"/>
        </w:rPr>
        <w:tab/>
        <w:t>:</w:t>
      </w:r>
      <w:r>
        <w:rPr>
          <w:rFonts w:cs="Arial"/>
        </w:rPr>
        <w:tab/>
      </w:r>
      <w:r>
        <w:rPr>
          <w:rFonts w:cs="Arial"/>
          <w:lang w:val="en-US"/>
        </w:rPr>
        <w:t>£15/hour</w:t>
      </w:r>
    </w:p>
    <w:p w:rsidR="002B1DBE" w:rsidRDefault="002B1DBE" w:rsidP="002B1DBE">
      <w:pPr>
        <w:rPr>
          <w:rFonts w:cs="Arial"/>
        </w:rPr>
      </w:pPr>
      <w:r>
        <w:rPr>
          <w:rFonts w:cs="Arial"/>
        </w:rPr>
        <w:t>Reporting to</w:t>
      </w:r>
      <w:r>
        <w:rPr>
          <w:rFonts w:cs="Arial"/>
        </w:rPr>
        <w:tab/>
      </w:r>
      <w:r>
        <w:rPr>
          <w:rFonts w:cs="Arial"/>
        </w:rPr>
        <w:tab/>
        <w:t>:</w:t>
      </w:r>
      <w:r>
        <w:rPr>
          <w:rFonts w:cs="Arial"/>
        </w:rPr>
        <w:tab/>
        <w:t>Volunteer Coordinator</w:t>
      </w:r>
    </w:p>
    <w:p w:rsidR="002B1DBE" w:rsidRDefault="002B1DBE"/>
    <w:p w:rsidR="002B1DBE" w:rsidRDefault="002B1DBE">
      <w:r>
        <w:t>The Young Critics sessional worker will recruit and support young women to attend and review cultural events at Glasgow Women’s Library and at other ven</w:t>
      </w:r>
      <w:r w:rsidR="001341FC">
        <w:t xml:space="preserve">ues across Glasgow and Scotland, </w:t>
      </w:r>
      <w:r w:rsidR="0015292E">
        <w:t>e</w:t>
      </w:r>
      <w:r w:rsidR="001341FC">
        <w:t>nsuring young women are central to the development of this project.</w:t>
      </w:r>
    </w:p>
    <w:p w:rsidR="002B1DBE" w:rsidRPr="002B1DBE" w:rsidRDefault="002B1DBE">
      <w:pPr>
        <w:rPr>
          <w:b/>
        </w:rPr>
      </w:pPr>
      <w:r w:rsidRPr="002B1DBE">
        <w:rPr>
          <w:b/>
        </w:rPr>
        <w:t>Main responsibilities:</w:t>
      </w:r>
    </w:p>
    <w:p w:rsidR="002B1DBE" w:rsidRDefault="002B1DBE">
      <w:r>
        <w:t>-promote the project to young women or organisations working with you</w:t>
      </w:r>
      <w:r w:rsidR="0073313F">
        <w:t>ng</w:t>
      </w:r>
      <w:r>
        <w:t xml:space="preserve"> women who could benefit from this project</w:t>
      </w:r>
      <w:r w:rsidR="001341FC">
        <w:t>, with a focus on Black and Minority Ethnic young women, young women who are unemployed</w:t>
      </w:r>
      <w:r w:rsidR="0073313F">
        <w:t xml:space="preserve"> or underemployed</w:t>
      </w:r>
      <w:r w:rsidR="001341FC">
        <w:t>, and young women from GWL’s neighbourhood</w:t>
      </w:r>
      <w:r w:rsidR="0073313F">
        <w:t>, Bridgeton</w:t>
      </w:r>
      <w:r w:rsidR="001341FC">
        <w:t>.</w:t>
      </w:r>
      <w:r>
        <w:t xml:space="preserve"> </w:t>
      </w:r>
    </w:p>
    <w:p w:rsidR="002B1DBE" w:rsidRDefault="002B1DBE">
      <w:r>
        <w:t>-</w:t>
      </w:r>
      <w:r w:rsidR="0073313F">
        <w:t>organise a programme of</w:t>
      </w:r>
      <w:r>
        <w:t xml:space="preserve"> training </w:t>
      </w:r>
      <w:r w:rsidR="0073313F">
        <w:t>tailored to the needs of the young women involved</w:t>
      </w:r>
    </w:p>
    <w:p w:rsidR="002B1DBE" w:rsidRDefault="002B1DBE">
      <w:r>
        <w:t xml:space="preserve">-purchase equipment for the project and put in place procedures for </w:t>
      </w:r>
      <w:proofErr w:type="spellStart"/>
      <w:proofErr w:type="gramStart"/>
      <w:r>
        <w:t>it’s</w:t>
      </w:r>
      <w:proofErr w:type="spellEnd"/>
      <w:proofErr w:type="gramEnd"/>
      <w:r>
        <w:t xml:space="preserve"> use</w:t>
      </w:r>
    </w:p>
    <w:p w:rsidR="002B1DBE" w:rsidRDefault="002B1DBE">
      <w:r>
        <w:t xml:space="preserve">- establish and maintain links with professional journalists and critics who are willing to </w:t>
      </w:r>
      <w:r w:rsidR="0073313F">
        <w:t xml:space="preserve">mentor the </w:t>
      </w:r>
      <w:r>
        <w:t>young critics</w:t>
      </w:r>
    </w:p>
    <w:p w:rsidR="002B1DBE" w:rsidRDefault="002B1DBE">
      <w:r>
        <w:t xml:space="preserve">- </w:t>
      </w:r>
      <w:proofErr w:type="gramStart"/>
      <w:r w:rsidR="000668DF">
        <w:t>in</w:t>
      </w:r>
      <w:proofErr w:type="gramEnd"/>
      <w:r w:rsidR="000668DF">
        <w:t xml:space="preserve"> the case of ticketed events support the young women</w:t>
      </w:r>
      <w:r w:rsidR="001341FC">
        <w:t xml:space="preserve"> to </w:t>
      </w:r>
      <w:r>
        <w:t xml:space="preserve">source complimentary tickets </w:t>
      </w:r>
    </w:p>
    <w:p w:rsidR="002B1DBE" w:rsidRDefault="002B1DBE">
      <w:r>
        <w:t xml:space="preserve">- </w:t>
      </w:r>
      <w:r w:rsidR="001341FC">
        <w:t xml:space="preserve">support the young </w:t>
      </w:r>
      <w:r w:rsidR="000668DF">
        <w:t>women</w:t>
      </w:r>
      <w:r w:rsidR="001341FC">
        <w:t xml:space="preserve"> to identify a range of cultural events at GWL and beyond</w:t>
      </w:r>
      <w:r w:rsidR="000668DF">
        <w:t xml:space="preserve"> which they are interested in reviewing</w:t>
      </w:r>
    </w:p>
    <w:p w:rsidR="000668DF" w:rsidRDefault="000668DF">
      <w:r>
        <w:t>- support the young women to identify a range of print and digital media in which to publish their reviews</w:t>
      </w:r>
    </w:p>
    <w:p w:rsidR="001341FC" w:rsidRDefault="001341FC">
      <w:r>
        <w:t xml:space="preserve">- organise peer support meetings </w:t>
      </w:r>
    </w:p>
    <w:p w:rsidR="000668DF" w:rsidRDefault="001341FC">
      <w:r>
        <w:t xml:space="preserve">- develop tools for monitoring the impact of </w:t>
      </w:r>
      <w:r w:rsidR="000668DF">
        <w:t>the project on the</w:t>
      </w:r>
      <w:r>
        <w:t xml:space="preserve"> young women’s social, cultural and </w:t>
      </w:r>
      <w:r w:rsidR="0073313F">
        <w:t>economic</w:t>
      </w:r>
      <w:r w:rsidR="00545EDA">
        <w:t xml:space="preserve"> capitals</w:t>
      </w:r>
      <w:bookmarkStart w:id="0" w:name="_GoBack"/>
      <w:bookmarkEnd w:id="0"/>
    </w:p>
    <w:p w:rsidR="001341FC" w:rsidRPr="00215433" w:rsidRDefault="00215433">
      <w:pPr>
        <w:rPr>
          <w:b/>
        </w:rPr>
      </w:pPr>
      <w:r w:rsidRPr="009621C0">
        <w:rPr>
          <w:b/>
        </w:rPr>
        <w:lastRenderedPageBreak/>
        <w:t>Person specification:</w:t>
      </w:r>
    </w:p>
    <w:p w:rsidR="001341FC" w:rsidRDefault="001341FC"/>
    <w:tbl>
      <w:tblPr>
        <w:tblW w:w="927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7"/>
        <w:gridCol w:w="1418"/>
        <w:gridCol w:w="1367"/>
      </w:tblGrid>
      <w:tr w:rsidR="001341FC" w:rsidTr="00D16C75">
        <w:trPr>
          <w:trHeight w:val="53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 and Abilities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Essential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Desirable</w:t>
            </w:r>
          </w:p>
        </w:tc>
      </w:tr>
      <w:tr w:rsidR="001341FC" w:rsidTr="00D16C75">
        <w:trPr>
          <w:trHeight w:val="40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Good verbal, written, communication and presentation skills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</w:tr>
      <w:tr w:rsidR="001341FC" w:rsidTr="00D16C75">
        <w:trPr>
          <w:trHeight w:val="40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Ability to meet deadlines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</w:tr>
      <w:tr w:rsidR="001341FC" w:rsidTr="00D16C75">
        <w:trPr>
          <w:trHeight w:val="66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Ability to demonstrate an active commitment towards equal opportunities and anti-discriminatory practice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</w:tr>
      <w:tr w:rsidR="001341FC" w:rsidTr="00D16C75">
        <w:trPr>
          <w:trHeight w:val="66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Ability to deal with information in a confidential manner and respond with sensitivity to the opinions of others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</w:tr>
      <w:tr w:rsidR="001341FC" w:rsidTr="00D16C75">
        <w:trPr>
          <w:trHeight w:val="42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Ability to think creatively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</w:tr>
      <w:tr w:rsidR="001341FC" w:rsidTr="00D16C75">
        <w:trPr>
          <w:trHeight w:val="41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Ability to inspire and motivate others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</w:tr>
      <w:tr w:rsidR="001341FC" w:rsidTr="00D16C75">
        <w:trPr>
          <w:trHeight w:val="67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Ability to speak relevant community language (Cantonese, Urdu, Punjabi, Hindi, Bengali)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</w:tr>
      <w:tr w:rsidR="001341FC" w:rsidTr="00D16C75">
        <w:trPr>
          <w:trHeight w:val="67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Strong interpersonal skills and the ability to deal with a diverse range of people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</w:tr>
      <w:tr w:rsidR="001341FC" w:rsidTr="00D16C75">
        <w:trPr>
          <w:trHeight w:val="50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Experience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</w:tr>
      <w:tr w:rsidR="001341FC" w:rsidTr="00D16C75">
        <w:trPr>
          <w:trHeight w:val="41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Experience of working in, or with, the voluntary sector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</w:tr>
      <w:tr w:rsidR="001341FC" w:rsidTr="00D16C75">
        <w:trPr>
          <w:trHeight w:val="42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1341FC">
            <w:pPr>
              <w:autoSpaceDE w:val="0"/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 xml:space="preserve">Experience of </w:t>
            </w:r>
            <w:r w:rsidR="008E2F43">
              <w:rPr>
                <w:rFonts w:cs="Arial"/>
              </w:rPr>
              <w:t>journalism and/or art criticism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</w:tr>
      <w:tr w:rsidR="001341FC" w:rsidTr="00D16C7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Experience of liaising with arts and culture organisations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</w:tr>
      <w:tr w:rsidR="001341FC" w:rsidTr="00D16C7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Experience of working with marginalised communities, e.g. Black and Minority Ethnic, people of low incomes flexible and have developed a non-judgemental approach to people and work.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8E2F43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</w:tr>
      <w:tr w:rsidR="008E2F43" w:rsidTr="00D16C7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43" w:rsidRDefault="008E2F43" w:rsidP="00D16C75">
            <w:pPr>
              <w:autoSpaceDE w:val="0"/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Experience of working with young people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43" w:rsidRDefault="008E2F43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43" w:rsidRDefault="008E2F43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</w:tr>
      <w:tr w:rsidR="001341FC" w:rsidTr="00D16C7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Good IT skills including word processing and database management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</w:tr>
      <w:tr w:rsidR="001341FC" w:rsidTr="00D16C7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Experience of contributing effectively as a team member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</w:tr>
      <w:tr w:rsidR="001341FC" w:rsidTr="00D16C7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Experience of using evaluation and monitoring tools and techniques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</w:tr>
      <w:tr w:rsidR="001341FC" w:rsidTr="00D16C75">
        <w:trPr>
          <w:trHeight w:val="49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</w:tr>
      <w:tr w:rsidR="001341FC" w:rsidTr="00D16C7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Knowledge of the voluntary sector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</w:tr>
      <w:tr w:rsidR="001341FC" w:rsidTr="00D16C75">
        <w:trPr>
          <w:trHeight w:val="48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Training and Qualifications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</w:tr>
      <w:tr w:rsidR="001341FC" w:rsidTr="00D16C7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Educated to higher level or professional qualification, e.g. community education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1FC" w:rsidRDefault="001341FC" w:rsidP="00D16C75">
            <w:pPr>
              <w:autoSpaceDE w:val="0"/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</w:tc>
      </w:tr>
    </w:tbl>
    <w:p w:rsidR="001341FC" w:rsidRDefault="001341FC"/>
    <w:sectPr w:rsidR="001341FC" w:rsidSect="00545EDA">
      <w:head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2B" w:rsidRDefault="0020272B" w:rsidP="00545EDA">
      <w:pPr>
        <w:spacing w:after="0" w:line="240" w:lineRule="auto"/>
      </w:pPr>
      <w:r>
        <w:separator/>
      </w:r>
    </w:p>
  </w:endnote>
  <w:endnote w:type="continuationSeparator" w:id="0">
    <w:p w:rsidR="0020272B" w:rsidRDefault="0020272B" w:rsidP="0054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2B" w:rsidRDefault="0020272B" w:rsidP="00545EDA">
      <w:pPr>
        <w:spacing w:after="0" w:line="240" w:lineRule="auto"/>
      </w:pPr>
      <w:r>
        <w:separator/>
      </w:r>
    </w:p>
  </w:footnote>
  <w:footnote w:type="continuationSeparator" w:id="0">
    <w:p w:rsidR="0020272B" w:rsidRDefault="0020272B" w:rsidP="0054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DA" w:rsidRDefault="00545EDA" w:rsidP="00545EDA">
    <w:pPr>
      <w:pStyle w:val="Header"/>
      <w:jc w:val="right"/>
    </w:pPr>
    <w:r>
      <w:rPr>
        <w:noProof/>
        <w:lang w:eastAsia="en-GB"/>
      </w:rPr>
      <w:drawing>
        <wp:inline distT="0" distB="0" distL="0" distR="0" wp14:anchorId="5E4FC2B8" wp14:editId="34EE009C">
          <wp:extent cx="956571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_big_e_min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571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5EDA" w:rsidRDefault="00545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BE"/>
    <w:rsid w:val="000668DF"/>
    <w:rsid w:val="001341FC"/>
    <w:rsid w:val="0015292E"/>
    <w:rsid w:val="001C41F6"/>
    <w:rsid w:val="0020272B"/>
    <w:rsid w:val="00215433"/>
    <w:rsid w:val="002B1DBE"/>
    <w:rsid w:val="003967A7"/>
    <w:rsid w:val="00545EDA"/>
    <w:rsid w:val="0073313F"/>
    <w:rsid w:val="008E2F43"/>
    <w:rsid w:val="00A37661"/>
    <w:rsid w:val="00F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DA"/>
  </w:style>
  <w:style w:type="paragraph" w:styleId="Footer">
    <w:name w:val="footer"/>
    <w:basedOn w:val="Normal"/>
    <w:link w:val="FooterChar"/>
    <w:uiPriority w:val="99"/>
    <w:unhideWhenUsed/>
    <w:rsid w:val="0054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DA"/>
  </w:style>
  <w:style w:type="paragraph" w:styleId="Footer">
    <w:name w:val="footer"/>
    <w:basedOn w:val="Normal"/>
    <w:link w:val="FooterChar"/>
    <w:uiPriority w:val="99"/>
    <w:unhideWhenUsed/>
    <w:rsid w:val="0054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68DF-4751-4A1F-A731-82C4EE3B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7</cp:revision>
  <dcterms:created xsi:type="dcterms:W3CDTF">2014-02-12T14:22:00Z</dcterms:created>
  <dcterms:modified xsi:type="dcterms:W3CDTF">2014-04-25T10:10:00Z</dcterms:modified>
</cp:coreProperties>
</file>